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515D" w14:textId="77777777" w:rsidR="006F4F6D" w:rsidRDefault="00F10948" w:rsidP="006F4F6D">
      <w:pPr>
        <w:spacing w:before="22" w:line="254" w:lineRule="auto"/>
        <w:ind w:right="-40"/>
        <w:jc w:val="center"/>
        <w:rPr>
          <w:b/>
          <w:sz w:val="24"/>
        </w:rPr>
      </w:pPr>
      <w:r>
        <w:rPr>
          <w:b/>
          <w:sz w:val="24"/>
        </w:rPr>
        <w:t xml:space="preserve">University of North Dakota School of Medicine &amp; Health Sciences </w:t>
      </w:r>
    </w:p>
    <w:p w14:paraId="38ABBC91" w14:textId="77777777" w:rsidR="006F4F6D" w:rsidRDefault="00F10948" w:rsidP="006F4F6D">
      <w:pPr>
        <w:spacing w:before="22" w:line="254" w:lineRule="auto"/>
        <w:ind w:right="-40"/>
        <w:jc w:val="center"/>
        <w:rPr>
          <w:b/>
          <w:color w:val="211E1F"/>
          <w:sz w:val="24"/>
        </w:rPr>
      </w:pPr>
      <w:r>
        <w:rPr>
          <w:b/>
          <w:sz w:val="24"/>
        </w:rPr>
        <w:t xml:space="preserve">Graduate Medical Education </w:t>
      </w:r>
      <w:r>
        <w:rPr>
          <w:b/>
          <w:color w:val="211E1F"/>
          <w:sz w:val="24"/>
        </w:rPr>
        <w:t xml:space="preserve">Program </w:t>
      </w:r>
    </w:p>
    <w:p w14:paraId="3D7D1BB8" w14:textId="272B06AC" w:rsidR="00C57355" w:rsidRDefault="00F10948" w:rsidP="006F4F6D">
      <w:pPr>
        <w:spacing w:before="22" w:line="254" w:lineRule="auto"/>
        <w:ind w:right="-40"/>
        <w:jc w:val="center"/>
        <w:rPr>
          <w:b/>
          <w:sz w:val="24"/>
        </w:rPr>
      </w:pPr>
      <w:r>
        <w:rPr>
          <w:b/>
          <w:color w:val="211E1F"/>
          <w:sz w:val="24"/>
        </w:rPr>
        <w:t>Concern and Complaint</w:t>
      </w:r>
      <w:r w:rsidR="006F4F6D">
        <w:rPr>
          <w:b/>
          <w:color w:val="211E1F"/>
          <w:sz w:val="24"/>
        </w:rPr>
        <w:t xml:space="preserve"> P</w:t>
      </w:r>
      <w:r w:rsidR="00C84E9E">
        <w:rPr>
          <w:b/>
          <w:color w:val="211E1F"/>
          <w:sz w:val="24"/>
        </w:rPr>
        <w:t>rocedure</w:t>
      </w:r>
    </w:p>
    <w:p w14:paraId="039D4295" w14:textId="77777777" w:rsidR="00C57355" w:rsidRDefault="00C57355">
      <w:pPr>
        <w:pStyle w:val="BodyText"/>
        <w:rPr>
          <w:b/>
          <w:sz w:val="24"/>
        </w:rPr>
      </w:pPr>
    </w:p>
    <w:p w14:paraId="430FEE59" w14:textId="77777777" w:rsidR="00C57355" w:rsidRDefault="00C57355">
      <w:pPr>
        <w:pStyle w:val="BodyText"/>
        <w:spacing w:before="11"/>
        <w:rPr>
          <w:b/>
          <w:sz w:val="23"/>
        </w:rPr>
      </w:pPr>
    </w:p>
    <w:p w14:paraId="5537AA37" w14:textId="20FF27A9" w:rsidR="00C57355" w:rsidRDefault="00F10948" w:rsidP="00735980">
      <w:pPr>
        <w:pStyle w:val="Heading1"/>
        <w:spacing w:before="0" w:line="265" w:lineRule="exact"/>
        <w:ind w:right="230"/>
      </w:pPr>
      <w:r>
        <w:t xml:space="preserve">Resident/Fellow Concern and Complaint </w:t>
      </w:r>
      <w:r w:rsidR="00C84E9E">
        <w:t>Procedure</w:t>
      </w:r>
    </w:p>
    <w:p w14:paraId="5389F0AC" w14:textId="2FA5DA8A" w:rsidR="00C57355" w:rsidRDefault="00F10948" w:rsidP="00735980">
      <w:pPr>
        <w:pStyle w:val="BodyText"/>
        <w:ind w:left="119" w:right="230"/>
        <w:jc w:val="both"/>
      </w:pPr>
      <w:r>
        <w:t>To ensure that Residents and Fellows are able to raise concerns and complaints</w:t>
      </w:r>
      <w:r w:rsidR="00C84E9E">
        <w:t>, including witnessed student mistreatment,</w:t>
      </w:r>
      <w:r>
        <w:t xml:space="preserve"> in a confidential and protected manner in an environment which fosters open communication without fear of intimidation and retaliation, the following options and resources are available and communicated to Residents, Fellows, and Faculty annually.</w:t>
      </w:r>
    </w:p>
    <w:p w14:paraId="6DE2D784" w14:textId="77777777" w:rsidR="00C57355" w:rsidRDefault="00C57355" w:rsidP="00735980">
      <w:pPr>
        <w:pStyle w:val="BodyText"/>
        <w:spacing w:before="4"/>
        <w:ind w:right="230"/>
        <w:jc w:val="both"/>
      </w:pPr>
    </w:p>
    <w:p w14:paraId="3272C569" w14:textId="77777777" w:rsidR="00C57355" w:rsidRDefault="00F10948" w:rsidP="00FF4711">
      <w:pPr>
        <w:pStyle w:val="Heading1"/>
        <w:spacing w:before="0" w:line="267" w:lineRule="exact"/>
        <w:ind w:left="1060" w:right="230"/>
      </w:pPr>
      <w:r>
        <w:t>Step One</w:t>
      </w:r>
    </w:p>
    <w:p w14:paraId="39A71188" w14:textId="2C91793F" w:rsidR="00227177" w:rsidRDefault="00F10948" w:rsidP="00FF4711">
      <w:pPr>
        <w:pStyle w:val="BodyText"/>
        <w:ind w:left="1060" w:right="230"/>
        <w:jc w:val="both"/>
      </w:pPr>
      <w:r>
        <w:t xml:space="preserve">Discuss the concern or complaint to your Chief Resident, Program Coordinator, Associate Program Director, Campus </w:t>
      </w:r>
      <w:r w:rsidR="00221C89">
        <w:t>(</w:t>
      </w:r>
      <w:r>
        <w:t>Resident</w:t>
      </w:r>
      <w:r w:rsidR="00221C89">
        <w:t>)</w:t>
      </w:r>
      <w:r>
        <w:t xml:space="preserve"> Advocate, and/or Program Director</w:t>
      </w:r>
      <w:r w:rsidR="00632C56">
        <w:t xml:space="preserve"> (PD)</w:t>
      </w:r>
      <w:r w:rsidR="00F87CD7">
        <w:t>,</w:t>
      </w:r>
      <w:r>
        <w:t xml:space="preserve"> as appropriate.</w:t>
      </w:r>
    </w:p>
    <w:p w14:paraId="18EAD442" w14:textId="77777777" w:rsidR="00227177" w:rsidRDefault="00227177" w:rsidP="00FF4711">
      <w:pPr>
        <w:pStyle w:val="BodyText"/>
        <w:ind w:left="1060" w:right="230"/>
        <w:jc w:val="both"/>
      </w:pPr>
    </w:p>
    <w:p w14:paraId="3B3CAD72" w14:textId="1A8A3E8D" w:rsidR="00BB4A91" w:rsidRDefault="00252B11" w:rsidP="00FF4711">
      <w:pPr>
        <w:pStyle w:val="BodyText"/>
        <w:ind w:left="1060" w:right="230"/>
        <w:jc w:val="both"/>
      </w:pPr>
      <w:r>
        <w:t xml:space="preserve">Pertaining </w:t>
      </w:r>
      <w:r w:rsidR="00227177">
        <w:t>to witnessed student mistreatment, discuss with your P</w:t>
      </w:r>
      <w:r w:rsidR="00632C56">
        <w:t>D</w:t>
      </w:r>
      <w:r w:rsidR="00227177">
        <w:t xml:space="preserve">, </w:t>
      </w:r>
      <w:r w:rsidR="00780B1A">
        <w:t xml:space="preserve">DIO, </w:t>
      </w:r>
      <w:r w:rsidR="00C75748">
        <w:t xml:space="preserve">Associate Dean </w:t>
      </w:r>
      <w:r w:rsidR="00BB4A91">
        <w:t xml:space="preserve">for </w:t>
      </w:r>
      <w:r w:rsidR="00C75748">
        <w:t>Student Affairs &amp; Admissions</w:t>
      </w:r>
      <w:r w:rsidR="008640FA">
        <w:t>, or Assistant Dean</w:t>
      </w:r>
      <w:r w:rsidR="00632C56">
        <w:t xml:space="preserve"> of </w:t>
      </w:r>
      <w:r w:rsidR="008640FA">
        <w:t>Phase 2/Phase 3.</w:t>
      </w:r>
      <w:r w:rsidR="00BB4A91" w:rsidRPr="00BB4A91">
        <w:t xml:space="preserve"> </w:t>
      </w:r>
      <w:r w:rsidR="00BB4A91">
        <w:t>The PD or DIO will elevate such concerns as appropriate to the Associate Dean for Student Affairs and Admissions while protecting any requests for anonymity by the resident</w:t>
      </w:r>
      <w:r w:rsidR="00F87CD7">
        <w:t>/fellow</w:t>
      </w:r>
      <w:r w:rsidR="00BB4A91">
        <w:t>.</w:t>
      </w:r>
    </w:p>
    <w:p w14:paraId="30A04345" w14:textId="77777777" w:rsidR="00E35AE1" w:rsidRDefault="00E35AE1" w:rsidP="00FF4711">
      <w:pPr>
        <w:pStyle w:val="BodyText"/>
        <w:ind w:left="1060" w:right="230"/>
        <w:jc w:val="both"/>
        <w:rPr>
          <w:rFonts w:eastAsiaTheme="minorHAnsi"/>
        </w:rPr>
      </w:pPr>
    </w:p>
    <w:p w14:paraId="6D0F5ED0" w14:textId="77777777" w:rsidR="00C57355" w:rsidRDefault="00F10948" w:rsidP="00FF4711">
      <w:pPr>
        <w:pStyle w:val="Heading1"/>
        <w:ind w:left="1058" w:right="230"/>
      </w:pPr>
      <w:r>
        <w:t>Step Two</w:t>
      </w:r>
    </w:p>
    <w:p w14:paraId="01B53D04" w14:textId="77777777" w:rsidR="00C57355" w:rsidRDefault="00F10948" w:rsidP="00FF4711">
      <w:pPr>
        <w:pStyle w:val="BodyText"/>
        <w:ind w:left="1058" w:right="230"/>
        <w:jc w:val="both"/>
      </w:pPr>
      <w:r>
        <w:t>If the concern or complaint involves the Program Director and/or cannot be addressed in option one, Residents and Fellows have the option of discussing issues with the respective Department Chair as appropriate.</w:t>
      </w:r>
    </w:p>
    <w:p w14:paraId="20F261DA" w14:textId="77777777" w:rsidR="00C57355" w:rsidRDefault="00C57355" w:rsidP="00735980">
      <w:pPr>
        <w:pStyle w:val="BodyText"/>
        <w:spacing w:before="9"/>
        <w:ind w:right="230"/>
        <w:rPr>
          <w:sz w:val="21"/>
        </w:rPr>
      </w:pPr>
    </w:p>
    <w:p w14:paraId="0DA09FCC" w14:textId="77777777" w:rsidR="00C57355" w:rsidRDefault="00F10948" w:rsidP="00735980">
      <w:pPr>
        <w:pStyle w:val="Heading1"/>
        <w:ind w:left="1060" w:right="230"/>
        <w:jc w:val="left"/>
      </w:pPr>
      <w:r>
        <w:t>Step Three</w:t>
      </w:r>
    </w:p>
    <w:p w14:paraId="661F170B" w14:textId="21C0F869" w:rsidR="00C57355" w:rsidRDefault="00F10948" w:rsidP="00FF4711">
      <w:pPr>
        <w:pStyle w:val="BodyText"/>
        <w:ind w:left="1060" w:right="230"/>
        <w:jc w:val="both"/>
      </w:pPr>
      <w:r>
        <w:t xml:space="preserve">If you are not able to resolve your concern or complaint within your program, contact the Graduate Medical Education Designated Institutional Official (DIO) </w:t>
      </w:r>
      <w:hyperlink r:id="rId5">
        <w:r>
          <w:rPr>
            <w:color w:val="0000FF"/>
            <w:u w:val="single" w:color="0000FF"/>
          </w:rPr>
          <w:t>kim.becker@</w:t>
        </w:r>
        <w:r w:rsidR="00E35AE1">
          <w:rPr>
            <w:color w:val="0000FF"/>
            <w:u w:val="single" w:color="0000FF"/>
          </w:rPr>
          <w:t>UND</w:t>
        </w:r>
        <w:r>
          <w:rPr>
            <w:color w:val="0000FF"/>
            <w:u w:val="single" w:color="0000FF"/>
          </w:rPr>
          <w:t>.edu</w:t>
        </w:r>
      </w:hyperlink>
      <w:r>
        <w:rPr>
          <w:color w:val="0000FF"/>
          <w:u w:val="single" w:color="0000FF"/>
        </w:rPr>
        <w:t xml:space="preserve"> </w:t>
      </w:r>
      <w:r>
        <w:t>(701-777-6716) or;</w:t>
      </w:r>
    </w:p>
    <w:p w14:paraId="5CF8395E" w14:textId="77777777" w:rsidR="00DD4263" w:rsidRDefault="00DD4263" w:rsidP="00735980">
      <w:pPr>
        <w:pStyle w:val="BodyText"/>
        <w:ind w:left="1060" w:right="230"/>
      </w:pPr>
    </w:p>
    <w:p w14:paraId="53786074" w14:textId="0569B811" w:rsidR="00C84E9E" w:rsidRPr="00F10948" w:rsidRDefault="00F10948" w:rsidP="00735980">
      <w:pPr>
        <w:pStyle w:val="ListParagraph"/>
        <w:numPr>
          <w:ilvl w:val="0"/>
          <w:numId w:val="1"/>
        </w:numPr>
        <w:tabs>
          <w:tab w:val="left" w:pos="1780"/>
          <w:tab w:val="left" w:pos="1781"/>
        </w:tabs>
        <w:ind w:right="230"/>
      </w:pPr>
      <w:hyperlink r:id="rId6">
        <w:r>
          <w:rPr>
            <w:color w:val="0000FF"/>
            <w:u w:val="single" w:color="0000FF"/>
          </w:rPr>
          <w:t>Anonymous Reporting Form on the</w:t>
        </w:r>
        <w:r>
          <w:rPr>
            <w:color w:val="0000FF"/>
            <w:spacing w:val="13"/>
            <w:u w:val="single" w:color="0000FF"/>
          </w:rPr>
          <w:t xml:space="preserve"> </w:t>
        </w:r>
        <w:r>
          <w:rPr>
            <w:color w:val="0000FF"/>
            <w:u w:val="single" w:color="0000FF"/>
          </w:rPr>
          <w:t>GME website</w:t>
        </w:r>
      </w:hyperlink>
    </w:p>
    <w:p w14:paraId="43C7097D" w14:textId="77777777" w:rsidR="00F10948" w:rsidRPr="00F10948" w:rsidRDefault="00F10948" w:rsidP="00735980">
      <w:pPr>
        <w:pStyle w:val="ListParagraph"/>
        <w:tabs>
          <w:tab w:val="left" w:pos="1780"/>
          <w:tab w:val="left" w:pos="1781"/>
        </w:tabs>
        <w:ind w:right="230" w:firstLine="0"/>
      </w:pPr>
    </w:p>
    <w:p w14:paraId="743F8BC3" w14:textId="7747D471" w:rsidR="00C84E9E" w:rsidRDefault="00E91D67" w:rsidP="00735980">
      <w:pPr>
        <w:tabs>
          <w:tab w:val="left" w:pos="1780"/>
          <w:tab w:val="left" w:pos="1781"/>
        </w:tabs>
        <w:ind w:left="1780" w:right="230"/>
        <w:jc w:val="both"/>
      </w:pPr>
      <w:r>
        <w:t>Within 15 business days of receipt of report, t</w:t>
      </w:r>
      <w:r w:rsidR="00C84E9E">
        <w:t>he DIO will</w:t>
      </w:r>
      <w:r w:rsidR="00F10948">
        <w:t xml:space="preserve"> complete the investigation, including</w:t>
      </w:r>
      <w:r w:rsidR="00C84E9E">
        <w:t xml:space="preserve"> document</w:t>
      </w:r>
      <w:r w:rsidR="00F10948">
        <w:t>ing</w:t>
      </w:r>
      <w:r w:rsidR="00C84E9E">
        <w:t xml:space="preserve"> the </w:t>
      </w:r>
      <w:r w:rsidR="00F10948">
        <w:t xml:space="preserve">report and </w:t>
      </w:r>
      <w:r w:rsidR="00C84E9E">
        <w:t>resolution</w:t>
      </w:r>
      <w:r w:rsidR="00F10948">
        <w:t xml:space="preserve">.  </w:t>
      </w:r>
      <w:r w:rsidR="007F1383">
        <w:t xml:space="preserve">Alternatively, the DIO may delegate the investigation and be apprised of findings.  </w:t>
      </w:r>
      <w:r w:rsidR="00F10948">
        <w:t xml:space="preserve">When a name is provided, the DIO </w:t>
      </w:r>
      <w:r w:rsidR="007F1383">
        <w:t xml:space="preserve">and/or the DIO’s delegate(s) </w:t>
      </w:r>
      <w:r w:rsidR="00F10948">
        <w:t>will communicate the outcome of the report to the resident/fellow</w:t>
      </w:r>
      <w:r>
        <w:t xml:space="preserve"> within 15 business days</w:t>
      </w:r>
      <w:r w:rsidR="00F10948">
        <w:t>.  When a name is not provided, if fitting and appropriate, as determined by the DIO, the resolution will be communicated to residents/fellows within the program.</w:t>
      </w:r>
    </w:p>
    <w:p w14:paraId="23C9CAF5" w14:textId="77777777" w:rsidR="006F4F6D" w:rsidRDefault="006F4F6D" w:rsidP="00735980">
      <w:pPr>
        <w:tabs>
          <w:tab w:val="left" w:pos="1780"/>
          <w:tab w:val="left" w:pos="1781"/>
        </w:tabs>
        <w:ind w:left="1780" w:right="230"/>
        <w:jc w:val="both"/>
      </w:pPr>
    </w:p>
    <w:p w14:paraId="4373A9BD" w14:textId="77777777" w:rsidR="00735980" w:rsidRDefault="00F10948" w:rsidP="00735980">
      <w:pPr>
        <w:pStyle w:val="Heading1"/>
        <w:ind w:right="230"/>
      </w:pPr>
      <w:r>
        <w:t xml:space="preserve">University of North Dakota School of Medicine &amp; Health Sciences </w:t>
      </w:r>
    </w:p>
    <w:p w14:paraId="7BB0A070" w14:textId="16A7EE75" w:rsidR="006F4F6D" w:rsidRDefault="00F10948" w:rsidP="00735980">
      <w:pPr>
        <w:pStyle w:val="Heading1"/>
        <w:ind w:right="230"/>
      </w:pPr>
      <w:r>
        <w:t>Resident</w:t>
      </w:r>
      <w:r w:rsidR="007F1383">
        <w:t>/Fellow</w:t>
      </w:r>
      <w:r>
        <w:t xml:space="preserve"> </w:t>
      </w:r>
      <w:r w:rsidR="007F1383">
        <w:t xml:space="preserve">Grievance and Appeal Policy </w:t>
      </w:r>
    </w:p>
    <w:p w14:paraId="337180D1" w14:textId="61447313" w:rsidR="00C57355" w:rsidRDefault="00F10948" w:rsidP="00735980">
      <w:pPr>
        <w:pStyle w:val="BodyText"/>
        <w:ind w:left="119" w:right="230"/>
      </w:pPr>
      <w:r>
        <w:t>In</w:t>
      </w:r>
      <w:r>
        <w:rPr>
          <w:spacing w:val="-14"/>
        </w:rPr>
        <w:t xml:space="preserve"> </w:t>
      </w:r>
      <w:r>
        <w:t>instances</w:t>
      </w:r>
      <w:r>
        <w:rPr>
          <w:spacing w:val="-18"/>
        </w:rPr>
        <w:t xml:space="preserve"> </w:t>
      </w:r>
      <w:r>
        <w:t>of</w:t>
      </w:r>
      <w:r>
        <w:rPr>
          <w:spacing w:val="-16"/>
        </w:rPr>
        <w:t xml:space="preserve"> </w:t>
      </w:r>
      <w:r>
        <w:t>UND</w:t>
      </w:r>
      <w:r w:rsidR="007F1383">
        <w:t xml:space="preserve"> </w:t>
      </w:r>
      <w:r>
        <w:t>SMHS</w:t>
      </w:r>
      <w:r>
        <w:rPr>
          <w:spacing w:val="-14"/>
        </w:rPr>
        <w:t xml:space="preserve"> </w:t>
      </w:r>
      <w:r>
        <w:t>discipline</w:t>
      </w:r>
      <w:r>
        <w:rPr>
          <w:spacing w:val="-13"/>
        </w:rPr>
        <w:t xml:space="preserve"> </w:t>
      </w:r>
      <w:r>
        <w:t>of</w:t>
      </w:r>
      <w:r>
        <w:rPr>
          <w:spacing w:val="-16"/>
        </w:rPr>
        <w:t xml:space="preserve"> </w:t>
      </w:r>
      <w:r>
        <w:t>Residents</w:t>
      </w:r>
      <w:r w:rsidR="00221C89">
        <w:t>/Fellows</w:t>
      </w:r>
      <w:r w:rsidR="00F87CD7">
        <w:t xml:space="preserve"> or grievances</w:t>
      </w:r>
      <w:r>
        <w:t>,</w:t>
      </w:r>
      <w:r>
        <w:rPr>
          <w:spacing w:val="-16"/>
        </w:rPr>
        <w:t xml:space="preserve"> </w:t>
      </w:r>
      <w:r>
        <w:t>please</w:t>
      </w:r>
      <w:r>
        <w:rPr>
          <w:spacing w:val="-13"/>
        </w:rPr>
        <w:t xml:space="preserve"> </w:t>
      </w:r>
      <w:r>
        <w:t>refer</w:t>
      </w:r>
      <w:r>
        <w:rPr>
          <w:spacing w:val="-18"/>
        </w:rPr>
        <w:t xml:space="preserve"> </w:t>
      </w:r>
      <w:r>
        <w:t>to</w:t>
      </w:r>
      <w:r>
        <w:rPr>
          <w:spacing w:val="-15"/>
        </w:rPr>
        <w:t xml:space="preserve"> </w:t>
      </w:r>
      <w:r>
        <w:t>the</w:t>
      </w:r>
      <w:r>
        <w:rPr>
          <w:spacing w:val="-21"/>
        </w:rPr>
        <w:t xml:space="preserve"> </w:t>
      </w:r>
      <w:r w:rsidR="00735980">
        <w:t xml:space="preserve">online </w:t>
      </w:r>
      <w:hyperlink r:id="rId7" w:history="1">
        <w:r w:rsidR="00735980" w:rsidRPr="00735980">
          <w:rPr>
            <w:rStyle w:val="Hyperlink"/>
          </w:rPr>
          <w:t>Resident/Fellow Grievance and Appeal Policy</w:t>
        </w:r>
      </w:hyperlink>
      <w:r w:rsidR="00735980">
        <w:t xml:space="preserve"> </w:t>
      </w:r>
      <w:r>
        <w:t>for detailed information regarding</w:t>
      </w:r>
      <w:r>
        <w:rPr>
          <w:spacing w:val="-34"/>
        </w:rPr>
        <w:t xml:space="preserve"> </w:t>
      </w:r>
      <w:r>
        <w:t>process.</w:t>
      </w:r>
    </w:p>
    <w:p w14:paraId="24679CB5" w14:textId="77777777" w:rsidR="00C57355" w:rsidRDefault="00C57355" w:rsidP="00735980">
      <w:pPr>
        <w:pStyle w:val="BodyText"/>
        <w:spacing w:before="7"/>
        <w:ind w:right="230"/>
        <w:rPr>
          <w:sz w:val="17"/>
        </w:rPr>
      </w:pPr>
    </w:p>
    <w:p w14:paraId="27AD3F32" w14:textId="77777777" w:rsidR="00995A1D" w:rsidRDefault="00995A1D" w:rsidP="00735980">
      <w:pPr>
        <w:pStyle w:val="BodyText"/>
        <w:spacing w:before="56"/>
        <w:ind w:left="119" w:right="230"/>
      </w:pPr>
    </w:p>
    <w:p w14:paraId="0327A847" w14:textId="77777777" w:rsidR="00995A1D" w:rsidRDefault="00995A1D" w:rsidP="00735980">
      <w:pPr>
        <w:pStyle w:val="BodyText"/>
        <w:spacing w:before="56"/>
        <w:ind w:left="119" w:right="230"/>
      </w:pPr>
    </w:p>
    <w:p w14:paraId="35F389DF" w14:textId="2427C2B0" w:rsidR="00C57355" w:rsidRDefault="00F10948" w:rsidP="00735980">
      <w:pPr>
        <w:pStyle w:val="BodyText"/>
        <w:ind w:left="115" w:right="230"/>
      </w:pPr>
      <w:r>
        <w:t>Approved by GMEC 11/14/17</w:t>
      </w:r>
    </w:p>
    <w:p w14:paraId="59607B9B" w14:textId="0F418104" w:rsidR="006F4F6D" w:rsidRDefault="006F4F6D" w:rsidP="00735980">
      <w:pPr>
        <w:pStyle w:val="BodyText"/>
        <w:ind w:left="115" w:right="230"/>
      </w:pPr>
      <w:r>
        <w:t>Approved by GMEC 2/9/21</w:t>
      </w:r>
    </w:p>
    <w:p w14:paraId="5EFF2CD9" w14:textId="29155E14" w:rsidR="00E35AE1" w:rsidRDefault="00E35AE1" w:rsidP="00735980">
      <w:pPr>
        <w:pStyle w:val="BodyText"/>
        <w:ind w:left="115" w:right="230"/>
      </w:pPr>
      <w:r>
        <w:t>Approved by GMEC 11/8/22</w:t>
      </w:r>
    </w:p>
    <w:p w14:paraId="6A4E08F5" w14:textId="04416B07" w:rsidR="00C42428" w:rsidRDefault="00C42428" w:rsidP="00735980">
      <w:pPr>
        <w:pStyle w:val="BodyText"/>
        <w:ind w:left="115" w:right="230"/>
      </w:pPr>
      <w:r>
        <w:t>Approved by GMEC 4/8/25</w:t>
      </w:r>
    </w:p>
    <w:p w14:paraId="64C0F413" w14:textId="77777777" w:rsidR="006F4F6D" w:rsidRDefault="006F4F6D" w:rsidP="00735980">
      <w:pPr>
        <w:pStyle w:val="BodyText"/>
        <w:spacing w:before="56"/>
        <w:ind w:left="119" w:right="230"/>
      </w:pPr>
    </w:p>
    <w:sectPr w:rsidR="006F4F6D">
      <w:type w:val="continuous"/>
      <w:pgSz w:w="12240" w:h="15840"/>
      <w:pgMar w:top="700" w:right="110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14334"/>
    <w:multiLevelType w:val="hybridMultilevel"/>
    <w:tmpl w:val="E94A4A58"/>
    <w:lvl w:ilvl="0" w:tplc="5F9E92B6">
      <w:numFmt w:val="bullet"/>
      <w:lvlText w:val=""/>
      <w:lvlJc w:val="left"/>
      <w:pPr>
        <w:ind w:left="1780" w:hanging="360"/>
      </w:pPr>
      <w:rPr>
        <w:rFonts w:ascii="Symbol" w:eastAsia="Symbol" w:hAnsi="Symbol" w:cs="Symbol" w:hint="default"/>
        <w:w w:val="100"/>
        <w:sz w:val="22"/>
        <w:szCs w:val="22"/>
      </w:rPr>
    </w:lvl>
    <w:lvl w:ilvl="1" w:tplc="F6DCEF78">
      <w:numFmt w:val="bullet"/>
      <w:lvlText w:val="•"/>
      <w:lvlJc w:val="left"/>
      <w:pPr>
        <w:ind w:left="2606" w:hanging="360"/>
      </w:pPr>
      <w:rPr>
        <w:rFonts w:hint="default"/>
      </w:rPr>
    </w:lvl>
    <w:lvl w:ilvl="2" w:tplc="890C0612">
      <w:numFmt w:val="bullet"/>
      <w:lvlText w:val="•"/>
      <w:lvlJc w:val="left"/>
      <w:pPr>
        <w:ind w:left="3432" w:hanging="360"/>
      </w:pPr>
      <w:rPr>
        <w:rFonts w:hint="default"/>
      </w:rPr>
    </w:lvl>
    <w:lvl w:ilvl="3" w:tplc="460EDD62">
      <w:numFmt w:val="bullet"/>
      <w:lvlText w:val="•"/>
      <w:lvlJc w:val="left"/>
      <w:pPr>
        <w:ind w:left="4258" w:hanging="360"/>
      </w:pPr>
      <w:rPr>
        <w:rFonts w:hint="default"/>
      </w:rPr>
    </w:lvl>
    <w:lvl w:ilvl="4" w:tplc="9DC88E3A">
      <w:numFmt w:val="bullet"/>
      <w:lvlText w:val="•"/>
      <w:lvlJc w:val="left"/>
      <w:pPr>
        <w:ind w:left="5084" w:hanging="360"/>
      </w:pPr>
      <w:rPr>
        <w:rFonts w:hint="default"/>
      </w:rPr>
    </w:lvl>
    <w:lvl w:ilvl="5" w:tplc="EDAC76B2">
      <w:numFmt w:val="bullet"/>
      <w:lvlText w:val="•"/>
      <w:lvlJc w:val="left"/>
      <w:pPr>
        <w:ind w:left="5910" w:hanging="360"/>
      </w:pPr>
      <w:rPr>
        <w:rFonts w:hint="default"/>
      </w:rPr>
    </w:lvl>
    <w:lvl w:ilvl="6" w:tplc="1E6A2F4C">
      <w:numFmt w:val="bullet"/>
      <w:lvlText w:val="•"/>
      <w:lvlJc w:val="left"/>
      <w:pPr>
        <w:ind w:left="6736" w:hanging="360"/>
      </w:pPr>
      <w:rPr>
        <w:rFonts w:hint="default"/>
      </w:rPr>
    </w:lvl>
    <w:lvl w:ilvl="7" w:tplc="E724E7A6">
      <w:numFmt w:val="bullet"/>
      <w:lvlText w:val="•"/>
      <w:lvlJc w:val="left"/>
      <w:pPr>
        <w:ind w:left="7562" w:hanging="360"/>
      </w:pPr>
      <w:rPr>
        <w:rFonts w:hint="default"/>
      </w:rPr>
    </w:lvl>
    <w:lvl w:ilvl="8" w:tplc="5D8E9EBE">
      <w:numFmt w:val="bullet"/>
      <w:lvlText w:val="•"/>
      <w:lvlJc w:val="left"/>
      <w:pPr>
        <w:ind w:left="8388" w:hanging="360"/>
      </w:pPr>
      <w:rPr>
        <w:rFonts w:hint="default"/>
      </w:rPr>
    </w:lvl>
  </w:abstractNum>
  <w:num w:numId="1" w16cid:durableId="123812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55"/>
    <w:rsid w:val="00021345"/>
    <w:rsid w:val="0012603E"/>
    <w:rsid w:val="00221C89"/>
    <w:rsid w:val="00227177"/>
    <w:rsid w:val="00252B11"/>
    <w:rsid w:val="00273B82"/>
    <w:rsid w:val="00595BD2"/>
    <w:rsid w:val="00632C56"/>
    <w:rsid w:val="006F4F6D"/>
    <w:rsid w:val="00735980"/>
    <w:rsid w:val="00780B1A"/>
    <w:rsid w:val="007F1383"/>
    <w:rsid w:val="008640FA"/>
    <w:rsid w:val="009228E8"/>
    <w:rsid w:val="00995A1D"/>
    <w:rsid w:val="00BB4A91"/>
    <w:rsid w:val="00C42428"/>
    <w:rsid w:val="00C46993"/>
    <w:rsid w:val="00C57355"/>
    <w:rsid w:val="00C75748"/>
    <w:rsid w:val="00C84E9E"/>
    <w:rsid w:val="00DA3F89"/>
    <w:rsid w:val="00DD4263"/>
    <w:rsid w:val="00E35AE1"/>
    <w:rsid w:val="00E91D67"/>
    <w:rsid w:val="00F10948"/>
    <w:rsid w:val="00F87CD7"/>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BDAC"/>
  <w15:docId w15:val="{477E58CE-7A14-4F4E-816C-5386AF43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
      <w:ind w:left="17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4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E9E"/>
    <w:rPr>
      <w:rFonts w:ascii="Segoe UI" w:eastAsia="Calibri" w:hAnsi="Segoe UI" w:cs="Segoe UI"/>
      <w:sz w:val="18"/>
      <w:szCs w:val="18"/>
    </w:rPr>
  </w:style>
  <w:style w:type="paragraph" w:styleId="Revision">
    <w:name w:val="Revision"/>
    <w:hidden/>
    <w:uiPriority w:val="99"/>
    <w:semiHidden/>
    <w:rsid w:val="00252B11"/>
    <w:pPr>
      <w:widowControl/>
      <w:autoSpaceDE/>
      <w:autoSpaceDN/>
    </w:pPr>
    <w:rPr>
      <w:rFonts w:ascii="Calibri" w:eastAsia="Calibri" w:hAnsi="Calibri" w:cs="Calibri"/>
    </w:rPr>
  </w:style>
  <w:style w:type="character" w:styleId="Hyperlink">
    <w:name w:val="Hyperlink"/>
    <w:basedOn w:val="DefaultParagraphFont"/>
    <w:uiPriority w:val="99"/>
    <w:unhideWhenUsed/>
    <w:rsid w:val="00735980"/>
    <w:rPr>
      <w:color w:val="0000FF" w:themeColor="hyperlink"/>
      <w:u w:val="single"/>
    </w:rPr>
  </w:style>
  <w:style w:type="character" w:styleId="UnresolvedMention">
    <w:name w:val="Unresolved Mention"/>
    <w:basedOn w:val="DefaultParagraphFont"/>
    <w:uiPriority w:val="99"/>
    <w:semiHidden/>
    <w:unhideWhenUsed/>
    <w:rsid w:val="0073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02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und.edu/about/policies/_files/docs/gme-resident-fellow-grievance-and-appeal-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und.edu/residency-programs/voice-a-concern.html" TargetMode="External"/><Relationship Id="rId5" Type="http://schemas.openxmlformats.org/officeDocument/2006/relationships/hyperlink" Target="mailto:kim.becker@ndu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samuelst</dc:creator>
  <cp:lastModifiedBy>Kofstad, Xan-Marie</cp:lastModifiedBy>
  <cp:revision>2</cp:revision>
  <dcterms:created xsi:type="dcterms:W3CDTF">2025-04-24T19:16:00Z</dcterms:created>
  <dcterms:modified xsi:type="dcterms:W3CDTF">2025-04-24T19:16:00Z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Microsoft® Word 2016</vt:lpwstr>
  </property>
  <property fmtid="{D5CDD505-2E9C-101B-9397-08002B2CF9AE}" pid="4" name="LastSaved">
    <vt:filetime>2020-10-06T00:00:00Z</vt:filetime>
  </property>
</Properties>
</file>